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3BBB" w14:textId="77777777" w:rsidR="00892F83" w:rsidRPr="00CE78EA" w:rsidRDefault="00332F0F" w:rsidP="00892F83">
      <w:pPr>
        <w:pStyle w:val="2"/>
        <w:spacing w:before="0" w:beforeAutospacing="0"/>
      </w:pPr>
      <w:hyperlink r:id="rId7" w:history="1">
        <w:r w:rsidR="00892F83" w:rsidRPr="00CE78EA">
          <w:t>Комментарии к повестке дня собрания.</w:t>
        </w:r>
      </w:hyperlink>
      <w:r w:rsidR="00892F83" w:rsidRPr="00CE78EA">
        <w:br/>
      </w:r>
    </w:p>
    <w:p w14:paraId="0BCF2FE8" w14:textId="77777777" w:rsidR="00892F83" w:rsidRPr="00CE78EA" w:rsidRDefault="00892F83" w:rsidP="00892F83">
      <w:pPr>
        <w:spacing w:after="100" w:afterAutospacing="1"/>
        <w:rPr>
          <w:rFonts w:ascii="Arial" w:hAnsi="Arial" w:cs="Arial"/>
          <w:color w:val="212529"/>
          <w:sz w:val="24"/>
          <w:szCs w:val="24"/>
        </w:rPr>
      </w:pPr>
      <w:r w:rsidRPr="00CE78EA">
        <w:rPr>
          <w:rFonts w:ascii="Arial" w:hAnsi="Arial" w:cs="Arial"/>
          <w:b/>
          <w:bCs/>
          <w:color w:val="212529"/>
          <w:sz w:val="24"/>
          <w:szCs w:val="24"/>
        </w:rPr>
        <w:t>По вопросу п.3 повестки собрания.</w:t>
      </w:r>
      <w:r w:rsidRPr="00CE78EA">
        <w:rPr>
          <w:rFonts w:ascii="Arial" w:hAnsi="Arial" w:cs="Arial"/>
          <w:color w:val="212529"/>
          <w:sz w:val="24"/>
          <w:szCs w:val="24"/>
        </w:rPr>
        <w:t> </w:t>
      </w:r>
      <w:r w:rsidRPr="00CE78EA">
        <w:rPr>
          <w:rFonts w:ascii="Arial" w:hAnsi="Arial" w:cs="Arial"/>
          <w:b/>
          <w:bCs/>
          <w:color w:val="212529"/>
          <w:sz w:val="24"/>
          <w:szCs w:val="24"/>
        </w:rPr>
        <w:t>Приходно-расходная смет</w:t>
      </w:r>
      <w:r w:rsidRPr="00CE78EA">
        <w:rPr>
          <w:rFonts w:ascii="Arial" w:hAnsi="Arial" w:cs="Arial"/>
          <w:color w:val="212529"/>
          <w:sz w:val="24"/>
          <w:szCs w:val="24"/>
        </w:rPr>
        <w:t>а </w:t>
      </w:r>
      <w:r w:rsidRPr="00CE78EA">
        <w:rPr>
          <w:rFonts w:ascii="Arial" w:hAnsi="Arial" w:cs="Arial"/>
          <w:b/>
          <w:bCs/>
          <w:color w:val="212529"/>
          <w:sz w:val="24"/>
          <w:szCs w:val="24"/>
        </w:rPr>
        <w:t>на 2023-24 г.</w:t>
      </w:r>
    </w:p>
    <w:p w14:paraId="266D88E3" w14:textId="77777777" w:rsidR="00892F83" w:rsidRPr="00CE78EA" w:rsidRDefault="00892F83" w:rsidP="00892F83">
      <w:pPr>
        <w:spacing w:after="100" w:afterAutospacing="1"/>
        <w:rPr>
          <w:rFonts w:ascii="Arial" w:hAnsi="Arial" w:cs="Arial"/>
          <w:color w:val="212529"/>
          <w:sz w:val="24"/>
          <w:szCs w:val="24"/>
        </w:rPr>
      </w:pPr>
      <w:r w:rsidRPr="00CE78EA">
        <w:rPr>
          <w:rFonts w:ascii="Arial" w:hAnsi="Arial" w:cs="Arial"/>
          <w:color w:val="212529"/>
          <w:sz w:val="24"/>
          <w:szCs w:val="24"/>
        </w:rPr>
        <w:t xml:space="preserve">В предлагаемом бюджете на 2023/2024 финансовый год значительное увеличение сметы связано, в первую очередь, с увеличением фонда заработной платы, который, в свою очередь, влечёт увеличение налоговых выплат. </w:t>
      </w:r>
      <w:r w:rsidRPr="00CE78EA">
        <w:rPr>
          <w:rFonts w:ascii="Arial" w:hAnsi="Arial" w:cs="Arial"/>
          <w:color w:val="212529"/>
          <w:sz w:val="24"/>
          <w:szCs w:val="24"/>
        </w:rPr>
        <w:br/>
        <w:t>В ряде статей бюджета увеличение произошло из-за инфляции.</w:t>
      </w:r>
      <w:r w:rsidRPr="00CE78EA">
        <w:rPr>
          <w:rFonts w:ascii="Arial" w:hAnsi="Arial" w:cs="Arial"/>
          <w:color w:val="212529"/>
          <w:sz w:val="24"/>
          <w:szCs w:val="24"/>
        </w:rPr>
        <w:br/>
        <w:t>Появились статьи для финансирования ряда ремонтных работ.</w:t>
      </w:r>
      <w:r w:rsidRPr="00CE78EA">
        <w:rPr>
          <w:rFonts w:ascii="Arial" w:hAnsi="Arial" w:cs="Arial"/>
          <w:color w:val="212529"/>
          <w:sz w:val="24"/>
          <w:szCs w:val="24"/>
        </w:rPr>
        <w:br/>
        <w:t>Увеличено в два раза финансирование асфальтирования дорог.</w:t>
      </w:r>
      <w:r w:rsidRPr="00CE78EA">
        <w:rPr>
          <w:rFonts w:ascii="Arial" w:hAnsi="Arial" w:cs="Arial"/>
          <w:color w:val="212529"/>
          <w:sz w:val="24"/>
          <w:szCs w:val="24"/>
        </w:rPr>
        <w:br/>
      </w:r>
    </w:p>
    <w:p w14:paraId="53292961" w14:textId="77777777" w:rsidR="00892F83" w:rsidRPr="00CE78EA" w:rsidRDefault="00892F83" w:rsidP="00892F83">
      <w:pPr>
        <w:spacing w:after="100" w:afterAutospacing="1"/>
        <w:rPr>
          <w:rFonts w:ascii="Arial" w:hAnsi="Arial" w:cs="Arial"/>
          <w:color w:val="212529"/>
          <w:sz w:val="24"/>
          <w:szCs w:val="24"/>
        </w:rPr>
      </w:pPr>
      <w:r w:rsidRPr="00CE78EA">
        <w:rPr>
          <w:rFonts w:ascii="Arial" w:hAnsi="Arial" w:cs="Arial"/>
          <w:b/>
          <w:bCs/>
          <w:color w:val="212529"/>
          <w:sz w:val="24"/>
          <w:szCs w:val="24"/>
        </w:rPr>
        <w:t>По вопросу п.4 повестки собрания.</w:t>
      </w:r>
      <w:r w:rsidRPr="00CE78EA">
        <w:rPr>
          <w:rFonts w:ascii="Arial" w:hAnsi="Arial" w:cs="Arial"/>
          <w:color w:val="212529"/>
          <w:sz w:val="24"/>
          <w:szCs w:val="24"/>
        </w:rPr>
        <w:t> </w:t>
      </w:r>
      <w:r w:rsidRPr="00CE78EA">
        <w:rPr>
          <w:rFonts w:ascii="Arial" w:hAnsi="Arial" w:cs="Arial"/>
          <w:b/>
          <w:bCs/>
          <w:color w:val="212529"/>
          <w:sz w:val="24"/>
          <w:szCs w:val="24"/>
        </w:rPr>
        <w:t>Создание Целевой Программы №1 «Формирование дорожного фонда»</w:t>
      </w:r>
      <w:r w:rsidRPr="00CE78EA">
        <w:rPr>
          <w:rFonts w:ascii="Arial" w:hAnsi="Arial" w:cs="Arial"/>
          <w:color w:val="212529"/>
          <w:sz w:val="24"/>
          <w:szCs w:val="24"/>
        </w:rPr>
        <w:t>. </w:t>
      </w:r>
    </w:p>
    <w:p w14:paraId="6D2561ED" w14:textId="77777777" w:rsidR="00892F83" w:rsidRPr="00CE78EA" w:rsidRDefault="00892F83" w:rsidP="00892F83">
      <w:pPr>
        <w:spacing w:after="100" w:afterAutospacing="1"/>
        <w:rPr>
          <w:rFonts w:ascii="Arial" w:hAnsi="Arial" w:cs="Arial"/>
          <w:color w:val="212529"/>
          <w:sz w:val="24"/>
          <w:szCs w:val="24"/>
        </w:rPr>
      </w:pPr>
      <w:r w:rsidRPr="00CE78EA">
        <w:rPr>
          <w:rFonts w:ascii="Arial" w:hAnsi="Arial" w:cs="Arial"/>
          <w:color w:val="212529"/>
          <w:sz w:val="24"/>
          <w:szCs w:val="24"/>
        </w:rPr>
        <w:t>В целях упрощения контроля и увеличения финансирования по ремонту дорог, собираемые взносы за проезд и за пропуска, предлагается считать целевыми взносами и использовать только на асфальтирование дорожного покрытия (вместе с ямочным ремонтом), в соответствии с Целевой Программой.</w:t>
      </w:r>
      <w:r w:rsidRPr="00CE78EA">
        <w:rPr>
          <w:rFonts w:ascii="Arial" w:hAnsi="Arial" w:cs="Arial"/>
          <w:color w:val="212529"/>
          <w:sz w:val="24"/>
          <w:szCs w:val="24"/>
        </w:rPr>
        <w:br/>
      </w:r>
    </w:p>
    <w:p w14:paraId="4E2AAC52" w14:textId="77777777" w:rsidR="00892F83" w:rsidRPr="00CE78EA" w:rsidRDefault="00892F83" w:rsidP="00892F83">
      <w:pPr>
        <w:spacing w:after="100" w:afterAutospacing="1"/>
        <w:rPr>
          <w:rFonts w:ascii="Arial" w:hAnsi="Arial" w:cs="Arial"/>
          <w:color w:val="212529"/>
          <w:sz w:val="24"/>
          <w:szCs w:val="24"/>
        </w:rPr>
      </w:pPr>
      <w:r w:rsidRPr="00CE78EA">
        <w:rPr>
          <w:rFonts w:ascii="Arial" w:hAnsi="Arial" w:cs="Arial"/>
          <w:b/>
          <w:bCs/>
          <w:color w:val="212529"/>
          <w:sz w:val="24"/>
          <w:szCs w:val="24"/>
        </w:rPr>
        <w:t>По вопросу п.5 повестки собрания Оформление ЗОП (земель общего пользования) в долевую собственность под ВЗУ и ОС.</w:t>
      </w:r>
    </w:p>
    <w:p w14:paraId="7889A763" w14:textId="018B3E5D" w:rsidR="00892F83" w:rsidRPr="00CE78EA" w:rsidRDefault="00892F83" w:rsidP="00CE78EA">
      <w:pPr>
        <w:rPr>
          <w:b/>
          <w:sz w:val="20"/>
          <w:szCs w:val="20"/>
        </w:rPr>
      </w:pPr>
      <w:r w:rsidRPr="00CE78EA">
        <w:rPr>
          <w:rFonts w:ascii="Arial" w:hAnsi="Arial" w:cs="Arial"/>
          <w:color w:val="212529"/>
          <w:sz w:val="24"/>
          <w:szCs w:val="24"/>
        </w:rPr>
        <w:t>После вступления в силу 217ФЗ имущество общего пользования, расположенное в границах территории ТСН, можно переоформить в общую долевую собственность владельцев участков, пропорционально площади этих участков.</w:t>
      </w:r>
      <w:r w:rsidRPr="00CE78EA">
        <w:rPr>
          <w:rFonts w:ascii="Arial" w:hAnsi="Arial" w:cs="Arial"/>
          <w:color w:val="212529"/>
          <w:sz w:val="24"/>
          <w:szCs w:val="24"/>
        </w:rPr>
        <w:br/>
      </w:r>
      <w:r w:rsidRPr="00CE78EA">
        <w:rPr>
          <w:rFonts w:ascii="Arial" w:hAnsi="Arial" w:cs="Arial"/>
          <w:color w:val="212529"/>
          <w:sz w:val="24"/>
          <w:szCs w:val="24"/>
        </w:rPr>
        <w:br/>
        <w:t>На заседании правления (протокол №156) было принято решение вынести на голосование на общем собрании решения по оформлению в собственность товарищества земель под ВЗУ с санитарной зоной, а также земель под ОС (владение в доле ½ с Согласием-2). В случае принятия положительного решения, которое требует наличия кворума в 2/3 от числа членов товарищества и 100% кворума для принятия решения, будет начата работа по согласованию действий с Согласием-2, а также начаты необходимые мероприятия по оформлению земли под ВЗУ с санитарной зоной. Для того чтобы каждый член товарищества мог взвесить все за и против выбора того или иного варианта голосования по данному вопросу, к комментариям по повестке собрания прилагается таблица:</w:t>
      </w:r>
      <w:r>
        <w:rPr>
          <w:rFonts w:ascii="Arial" w:hAnsi="Arial" w:cs="Arial"/>
          <w:color w:val="212529"/>
        </w:rPr>
        <w:br/>
      </w:r>
    </w:p>
    <w:p w14:paraId="557504BD" w14:textId="12D46093" w:rsidR="007C2040" w:rsidRPr="00CE78EA" w:rsidRDefault="00DD2AA0" w:rsidP="00DD2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8EA">
        <w:rPr>
          <w:rFonts w:ascii="Times New Roman" w:hAnsi="Times New Roman" w:cs="Times New Roman"/>
          <w:b/>
          <w:sz w:val="24"/>
          <w:szCs w:val="24"/>
        </w:rPr>
        <w:t>ОФОРМЛЕНИЕ ПРАВА СОБСТВЕННОСТИ НА ЗЕМЛИ ОБЩЕГО ПОЛЬЗОВАНИЯ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0"/>
        <w:gridCol w:w="4801"/>
      </w:tblGrid>
      <w:tr w:rsidR="00DD2AA0" w:rsidRPr="00EA0B11" w14:paraId="283D6513" w14:textId="77777777" w:rsidTr="00DD2AA0">
        <w:tc>
          <w:tcPr>
            <w:tcW w:w="7280" w:type="dxa"/>
          </w:tcPr>
          <w:p w14:paraId="0543B961" w14:textId="77777777" w:rsidR="00DD2AA0" w:rsidRPr="00EA0B11" w:rsidRDefault="00DD2AA0" w:rsidP="00DD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Плюсы</w:t>
            </w:r>
          </w:p>
        </w:tc>
        <w:tc>
          <w:tcPr>
            <w:tcW w:w="7280" w:type="dxa"/>
          </w:tcPr>
          <w:p w14:paraId="122B753D" w14:textId="77777777" w:rsidR="00DD2AA0" w:rsidRPr="00EA0B11" w:rsidRDefault="00DD2AA0" w:rsidP="00DD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Минусы</w:t>
            </w:r>
          </w:p>
        </w:tc>
      </w:tr>
      <w:tr w:rsidR="00C95E36" w:rsidRPr="00EA0B11" w14:paraId="233EE807" w14:textId="77777777" w:rsidTr="00EA0B11">
        <w:tc>
          <w:tcPr>
            <w:tcW w:w="7280" w:type="dxa"/>
            <w:vAlign w:val="center"/>
          </w:tcPr>
          <w:p w14:paraId="565B616B" w14:textId="77777777" w:rsidR="00C95E36" w:rsidRPr="00EA0B11" w:rsidRDefault="00DD2AA0" w:rsidP="00EA0B1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ЗУ</w:t>
            </w:r>
            <w:r w:rsidR="00C95E36" w:rsidRPr="00EA0B1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="00C95E36" w:rsidRPr="00EA0B11">
              <w:rPr>
                <w:rFonts w:ascii="Times New Roman" w:hAnsi="Times New Roman" w:cs="Times New Roman"/>
                <w:sz w:val="24"/>
                <w:szCs w:val="24"/>
              </w:rPr>
              <w:t xml:space="preserve"> без риска привлечения к административной ответственности в соответствии со ст. 6.11 КоАП г. Москвы</w:t>
            </w:r>
            <w:r w:rsidR="00C95E36" w:rsidRPr="00EA0B1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r w:rsidR="00C95E36" w:rsidRPr="00EA0B11">
              <w:rPr>
                <w:rFonts w:ascii="Times New Roman" w:hAnsi="Times New Roman" w:cs="Times New Roman"/>
                <w:sz w:val="24"/>
                <w:szCs w:val="24"/>
              </w:rPr>
              <w:t xml:space="preserve"> (штраф на юридическое </w:t>
            </w:r>
            <w:r w:rsidR="00C95E36" w:rsidRPr="00EA0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 от 50 до 150 т.р.) или со ст.</w:t>
            </w:r>
            <w:r w:rsidR="00C95E36" w:rsidRPr="00E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95E36" w:rsidRPr="00EA0B11">
              <w:rPr>
                <w:rFonts w:ascii="Times New Roman" w:hAnsi="Times New Roman" w:cs="Times New Roman"/>
                <w:sz w:val="24"/>
                <w:szCs w:val="24"/>
              </w:rPr>
              <w:t>7.1 КоАП РФ</w:t>
            </w:r>
            <w:r w:rsidR="00C95E36" w:rsidRPr="00EA0B1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r w:rsidR="00C95E36" w:rsidRPr="00EA0B11">
              <w:rPr>
                <w:rFonts w:ascii="Times New Roman" w:hAnsi="Times New Roman" w:cs="Times New Roman"/>
                <w:sz w:val="24"/>
                <w:szCs w:val="24"/>
              </w:rPr>
              <w:t xml:space="preserve"> (штраф на юридическое лицо от 2 до 3% кадастровой стоимости ЗУ, но не менее 100 т.р. или от 100 до 200 т.р., если кадастровая стоимость не определена)</w:t>
            </w:r>
          </w:p>
        </w:tc>
        <w:tc>
          <w:tcPr>
            <w:tcW w:w="7280" w:type="dxa"/>
            <w:vAlign w:val="center"/>
          </w:tcPr>
          <w:p w14:paraId="0AB525B5" w14:textId="77777777" w:rsidR="00C95E36" w:rsidRPr="00EA0B11" w:rsidRDefault="00C95E36" w:rsidP="00EA0B1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 использования ЗУ должен быть установлен соответствующим контролирующим органом (Госинспекция или Росреестр), должна быть установлена </w:t>
            </w:r>
            <w:r w:rsidRPr="00EA0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вина привлекаемого лица, состав административного правонарушения.</w:t>
            </w:r>
          </w:p>
          <w:p w14:paraId="62745071" w14:textId="77777777" w:rsidR="00C95E36" w:rsidRPr="00EA0B11" w:rsidRDefault="00C95E36" w:rsidP="00EA0B1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При неиспользовании ЗУ не возникает состава административного правонарушения.</w:t>
            </w:r>
          </w:p>
        </w:tc>
      </w:tr>
      <w:tr w:rsidR="00C95E36" w:rsidRPr="00EA0B11" w14:paraId="59510D60" w14:textId="77777777" w:rsidTr="00EA0B11">
        <w:tc>
          <w:tcPr>
            <w:tcW w:w="7280" w:type="dxa"/>
            <w:vAlign w:val="center"/>
          </w:tcPr>
          <w:p w14:paraId="3F581A60" w14:textId="77777777" w:rsidR="00C95E36" w:rsidRPr="00EA0B11" w:rsidRDefault="00C95E36" w:rsidP="00EA0B1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риск взыскания ДГИ г. Москвы</w:t>
            </w:r>
            <w:r w:rsidRPr="00EA0B1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endnoteReference w:id="4"/>
            </w: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использования ЗУ за определенный период без оформления как суммы неосновательного обогащения в судебном порядке</w:t>
            </w:r>
          </w:p>
        </w:tc>
        <w:tc>
          <w:tcPr>
            <w:tcW w:w="7280" w:type="dxa"/>
            <w:vAlign w:val="center"/>
          </w:tcPr>
          <w:p w14:paraId="31F8B9CE" w14:textId="77777777" w:rsidR="00C95E36" w:rsidRPr="00EA0B11" w:rsidRDefault="00C95E36" w:rsidP="00EA0B1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Взыскание производится в судебном порядке, а значит ДГИ г. Москвы обязано доказать факт использования ЗУ за определенный период определенным лицом (Ответчиком).</w:t>
            </w:r>
          </w:p>
          <w:p w14:paraId="2DFCE103" w14:textId="77777777" w:rsidR="00C95E36" w:rsidRPr="00C95E36" w:rsidRDefault="00C95E36" w:rsidP="00EA0B1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При неиспользовании ЗУ не возникает обязанности по оплате, а равно обязанности по оплате.</w:t>
            </w:r>
          </w:p>
        </w:tc>
      </w:tr>
      <w:tr w:rsidR="00C95E36" w:rsidRPr="00EA0B11" w14:paraId="5C22DEFA" w14:textId="77777777" w:rsidTr="00EA0B11">
        <w:tc>
          <w:tcPr>
            <w:tcW w:w="7280" w:type="dxa"/>
            <w:vAlign w:val="center"/>
          </w:tcPr>
          <w:p w14:paraId="157AFB30" w14:textId="77777777" w:rsidR="00C95E36" w:rsidRPr="00EA0B11" w:rsidRDefault="00C95E36" w:rsidP="00EA0B1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Неправомерное размещение имущества на не оформленном ЗУ влечет риск вывоза/демонтажа такого имущества и взыскания стоимости использования ЗУ</w:t>
            </w:r>
          </w:p>
        </w:tc>
        <w:tc>
          <w:tcPr>
            <w:tcW w:w="7280" w:type="dxa"/>
            <w:vAlign w:val="center"/>
          </w:tcPr>
          <w:p w14:paraId="2A0315B7" w14:textId="77777777" w:rsidR="00C95E36" w:rsidRPr="00EA0B11" w:rsidRDefault="00C95E36" w:rsidP="00EA0B1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При неиспользовании ЗУ не возникает риска вывоза/демонтажа имущества.</w:t>
            </w:r>
          </w:p>
          <w:p w14:paraId="5364C693" w14:textId="77777777" w:rsidR="00C95E36" w:rsidRPr="00EA0B11" w:rsidRDefault="00C95E36" w:rsidP="00EA0B1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На оформленном ЗУ необходимо чтобы назначение ЗУ и вид разрешенного использования ЗУ</w:t>
            </w:r>
            <w:r w:rsidRPr="00EA0B1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endnoteReference w:id="5"/>
            </w: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соответствовало размещенному имуществу и порядку использования ЗУ.</w:t>
            </w:r>
          </w:p>
        </w:tc>
      </w:tr>
      <w:tr w:rsidR="00C95E36" w:rsidRPr="00EA0B11" w14:paraId="20D21DCE" w14:textId="77777777" w:rsidTr="00EA0B11">
        <w:tc>
          <w:tcPr>
            <w:tcW w:w="7280" w:type="dxa"/>
            <w:vAlign w:val="center"/>
          </w:tcPr>
          <w:p w14:paraId="40D0F40A" w14:textId="77777777" w:rsidR="00C95E36" w:rsidRPr="00EA0B11" w:rsidRDefault="00C95E36" w:rsidP="00EA0B1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</w:t>
            </w:r>
            <w:r w:rsidRPr="00EA0B1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endnoteReference w:id="6"/>
            </w: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 xml:space="preserve"> на не оформленном ЗУ влечет риск признания объекта самовольной постройкой с последующим сносом по исковому заявлению ДГИ г</w:t>
            </w:r>
            <w:r w:rsidRPr="00EA0B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 Москвы без какой-либо компенсации</w:t>
            </w:r>
          </w:p>
        </w:tc>
        <w:tc>
          <w:tcPr>
            <w:tcW w:w="7280" w:type="dxa"/>
            <w:vAlign w:val="center"/>
          </w:tcPr>
          <w:p w14:paraId="2B2EE798" w14:textId="77777777" w:rsidR="00C95E36" w:rsidRPr="00EA0B11" w:rsidRDefault="00C95E36" w:rsidP="00EA0B1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Если объекты капитального строительства не размещаются на ЗУ не возникает риска сноса.</w:t>
            </w:r>
          </w:p>
          <w:p w14:paraId="41778264" w14:textId="77777777" w:rsidR="00C95E36" w:rsidRPr="00EA0B11" w:rsidRDefault="00C95E36" w:rsidP="00EA0B1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На оформленном ЗУ необходимо чтобы назначение ЗУ и вид разрешенного использования ЗУ соответствовало размещенному на нем объекту капитального строительства. Если назначение не соответствуют риск сноса остается. Смена назначения земельного участка или вида разрешенного использования требует соответствующих денежных и временных затрат.</w:t>
            </w:r>
          </w:p>
        </w:tc>
      </w:tr>
      <w:tr w:rsidR="00C95E36" w:rsidRPr="00EA0B11" w14:paraId="469B2958" w14:textId="77777777" w:rsidTr="00EA0B11">
        <w:tc>
          <w:tcPr>
            <w:tcW w:w="7280" w:type="dxa"/>
            <w:vAlign w:val="center"/>
          </w:tcPr>
          <w:p w14:paraId="37CE3BC2" w14:textId="77777777" w:rsidR="00C95E36" w:rsidRPr="00EA0B11" w:rsidRDefault="00C95E36" w:rsidP="00EA0B1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Возможность распоряжаться оформленным ЗУ, в т.ч. сдавать ЗУ или его часть в аренду</w:t>
            </w:r>
          </w:p>
        </w:tc>
        <w:tc>
          <w:tcPr>
            <w:tcW w:w="7280" w:type="dxa"/>
            <w:vAlign w:val="center"/>
          </w:tcPr>
          <w:p w14:paraId="7DD745BC" w14:textId="77777777" w:rsidR="00C95E36" w:rsidRPr="00EA0B11" w:rsidRDefault="00C95E36" w:rsidP="00EA0B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5E36" w:rsidRPr="00EA0B11" w14:paraId="151DFC57" w14:textId="77777777" w:rsidTr="00EA0B11">
        <w:tc>
          <w:tcPr>
            <w:tcW w:w="7280" w:type="dxa"/>
            <w:vAlign w:val="center"/>
          </w:tcPr>
          <w:p w14:paraId="498DEC1C" w14:textId="77777777" w:rsidR="00C95E36" w:rsidRPr="00EA0B11" w:rsidRDefault="00C95E36" w:rsidP="00EA0B1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Возможность страхования ЗУ</w:t>
            </w:r>
          </w:p>
        </w:tc>
        <w:tc>
          <w:tcPr>
            <w:tcW w:w="7280" w:type="dxa"/>
            <w:vAlign w:val="center"/>
          </w:tcPr>
          <w:p w14:paraId="64A7D186" w14:textId="77777777" w:rsidR="00C95E36" w:rsidRPr="00EA0B11" w:rsidRDefault="00C95E36" w:rsidP="00EA0B1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Страхование ЗУ требует соответствующих денежных затрат.</w:t>
            </w:r>
          </w:p>
        </w:tc>
      </w:tr>
      <w:tr w:rsidR="00C95E36" w:rsidRPr="00EA0B11" w14:paraId="6272A602" w14:textId="77777777" w:rsidTr="00EA0B11">
        <w:tc>
          <w:tcPr>
            <w:tcW w:w="7280" w:type="dxa"/>
            <w:vAlign w:val="center"/>
          </w:tcPr>
          <w:p w14:paraId="3A665658" w14:textId="77777777" w:rsidR="00C95E36" w:rsidRPr="00EA0B11" w:rsidRDefault="00C95E36" w:rsidP="00EA0B1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Возможность присвоения адресного ориентира ЗУ</w:t>
            </w:r>
          </w:p>
        </w:tc>
        <w:tc>
          <w:tcPr>
            <w:tcW w:w="7280" w:type="dxa"/>
            <w:vAlign w:val="center"/>
          </w:tcPr>
          <w:p w14:paraId="030B456A" w14:textId="77777777" w:rsidR="00C95E36" w:rsidRPr="00EA0B11" w:rsidRDefault="00C95E36" w:rsidP="00EA0B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5E36" w:rsidRPr="00EA0B11" w14:paraId="1F25C42F" w14:textId="77777777" w:rsidTr="00EA0B11">
        <w:tc>
          <w:tcPr>
            <w:tcW w:w="7280" w:type="dxa"/>
            <w:vAlign w:val="center"/>
          </w:tcPr>
          <w:p w14:paraId="635784E7" w14:textId="77777777" w:rsidR="00C95E36" w:rsidRPr="00EA0B11" w:rsidRDefault="00C95E36" w:rsidP="00EA0B1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компенсации при изъятии ЗУ в соответствии с законодательством РФ (Например, для целей КРТ</w:t>
            </w:r>
            <w:r w:rsidRPr="00EA0B1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endnoteReference w:id="7"/>
            </w: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0" w:type="dxa"/>
            <w:vAlign w:val="center"/>
          </w:tcPr>
          <w:p w14:paraId="2F926B29" w14:textId="77777777" w:rsidR="00C95E36" w:rsidRPr="00EA0B11" w:rsidRDefault="00C95E36" w:rsidP="00EA0B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EE3" w:rsidRPr="00EA0B11" w14:paraId="34729B21" w14:textId="77777777" w:rsidTr="00EA0B11">
        <w:tc>
          <w:tcPr>
            <w:tcW w:w="7280" w:type="dxa"/>
            <w:vAlign w:val="center"/>
          </w:tcPr>
          <w:p w14:paraId="06E41313" w14:textId="77777777" w:rsidR="00D53EE3" w:rsidRPr="00EA0B11" w:rsidRDefault="00C95E36" w:rsidP="00EA0B1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Наличие уточненных, внесенных в ЕГРН</w:t>
            </w:r>
            <w:r w:rsidRPr="00EA0B1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endnoteReference w:id="8"/>
            </w: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CCC" w:rsidRPr="00EA0B11">
              <w:rPr>
                <w:rFonts w:ascii="Times New Roman" w:hAnsi="Times New Roman" w:cs="Times New Roman"/>
                <w:sz w:val="24"/>
                <w:szCs w:val="24"/>
              </w:rPr>
              <w:t xml:space="preserve">границ и характеристик ЗУ уменьшает </w:t>
            </w:r>
            <w:r w:rsidR="00455CCC" w:rsidRPr="00EA0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риски споров с</w:t>
            </w:r>
            <w:r w:rsidR="00595D90" w:rsidRPr="00EA0B11">
              <w:rPr>
                <w:rFonts w:ascii="Times New Roman" w:hAnsi="Times New Roman" w:cs="Times New Roman"/>
                <w:sz w:val="24"/>
                <w:szCs w:val="24"/>
              </w:rPr>
              <w:t>вязанных с</w:t>
            </w:r>
            <w:r w:rsidR="00455CCC" w:rsidRPr="00EA0B11">
              <w:rPr>
                <w:rFonts w:ascii="Times New Roman" w:hAnsi="Times New Roman" w:cs="Times New Roman"/>
                <w:sz w:val="24"/>
                <w:szCs w:val="24"/>
              </w:rPr>
              <w:t xml:space="preserve"> ЗУ</w:t>
            </w:r>
          </w:p>
        </w:tc>
        <w:tc>
          <w:tcPr>
            <w:tcW w:w="7280" w:type="dxa"/>
            <w:vAlign w:val="center"/>
          </w:tcPr>
          <w:p w14:paraId="76BC64C4" w14:textId="77777777" w:rsidR="00D53EE3" w:rsidRPr="00EA0B11" w:rsidRDefault="00595D90" w:rsidP="00EA0B1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права собственности на ЗУ не исключает рисков наличия споров </w:t>
            </w:r>
            <w:r w:rsidRPr="00EA0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относительно границ и характеристик ЗУ и не исключает признание недействительным права собственности на ЗУ или часть ЗУ</w:t>
            </w:r>
          </w:p>
        </w:tc>
      </w:tr>
      <w:tr w:rsidR="00D53EE3" w:rsidRPr="00EA0B11" w14:paraId="78FCE4D3" w14:textId="77777777" w:rsidTr="00EA0B11">
        <w:tc>
          <w:tcPr>
            <w:tcW w:w="7280" w:type="dxa"/>
            <w:vAlign w:val="center"/>
          </w:tcPr>
          <w:p w14:paraId="2BB6186E" w14:textId="77777777" w:rsidR="00D53EE3" w:rsidRPr="00EA0B11" w:rsidRDefault="005E52BD" w:rsidP="00EA0B1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Невозможность использования ЗУ иными лицами, которые не имеют прав на соответствующий ЗУ</w:t>
            </w:r>
          </w:p>
        </w:tc>
        <w:tc>
          <w:tcPr>
            <w:tcW w:w="7280" w:type="dxa"/>
            <w:vAlign w:val="center"/>
          </w:tcPr>
          <w:p w14:paraId="03D40CD4" w14:textId="77777777" w:rsidR="00D53EE3" w:rsidRPr="00EA0B11" w:rsidRDefault="0003244D" w:rsidP="00EA0B1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EA0B11" w:rsidRPr="00EA0B11">
              <w:rPr>
                <w:rFonts w:ascii="Times New Roman" w:hAnsi="Times New Roman" w:cs="Times New Roman"/>
                <w:sz w:val="24"/>
                <w:szCs w:val="24"/>
              </w:rPr>
              <w:t>отсутствии необходимости использования</w:t>
            </w: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 xml:space="preserve"> ЗУ не возникает риска </w:t>
            </w:r>
            <w:r w:rsidR="00EA0B11" w:rsidRPr="00EA0B11">
              <w:rPr>
                <w:rFonts w:ascii="Times New Roman" w:hAnsi="Times New Roman" w:cs="Times New Roman"/>
                <w:sz w:val="24"/>
                <w:szCs w:val="24"/>
              </w:rPr>
              <w:t>использования ЗУ иными лицами. Использование допустимо только собственниками ЗУ.</w:t>
            </w:r>
          </w:p>
        </w:tc>
      </w:tr>
      <w:tr w:rsidR="00D53EE3" w:rsidRPr="00EA0B11" w14:paraId="13F61E44" w14:textId="77777777" w:rsidTr="00EA0B11">
        <w:tc>
          <w:tcPr>
            <w:tcW w:w="7280" w:type="dxa"/>
            <w:vAlign w:val="center"/>
          </w:tcPr>
          <w:p w14:paraId="18E35B41" w14:textId="77777777" w:rsidR="00D53EE3" w:rsidRPr="00EA0B11" w:rsidRDefault="00EA0B11" w:rsidP="00EA0B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0" w:type="dxa"/>
            <w:vAlign w:val="center"/>
          </w:tcPr>
          <w:p w14:paraId="653095F7" w14:textId="77777777" w:rsidR="00D53EE3" w:rsidRPr="00EA0B11" w:rsidRDefault="00777424" w:rsidP="00EA0B1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Оформление права собственности требует соответствующих денежных затрат вне зависимости от того будет использоваться ЗУ или нет</w:t>
            </w:r>
            <w:r w:rsidR="00EA0B11" w:rsidRPr="00EA0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3EE3" w:rsidRPr="00EA0B11" w14:paraId="064BCA3A" w14:textId="77777777" w:rsidTr="00EA0B11">
        <w:trPr>
          <w:trHeight w:val="902"/>
        </w:trPr>
        <w:tc>
          <w:tcPr>
            <w:tcW w:w="7280" w:type="dxa"/>
            <w:vAlign w:val="center"/>
          </w:tcPr>
          <w:p w14:paraId="63F3E201" w14:textId="77777777" w:rsidR="00D53EE3" w:rsidRPr="00EA0B11" w:rsidRDefault="00EA0B11" w:rsidP="00EA0B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0" w:type="dxa"/>
            <w:vAlign w:val="center"/>
          </w:tcPr>
          <w:p w14:paraId="1E322F42" w14:textId="77777777" w:rsidR="00EA0B11" w:rsidRPr="00EA0B11" w:rsidRDefault="00EA0B11" w:rsidP="00EA0B1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Возникает обязательство по оплате земельного налога раз в календарный год, который рассчитывается в зависимости от кадастровой стоимости ЗУ и составляет:</w:t>
            </w:r>
          </w:p>
        </w:tc>
      </w:tr>
    </w:tbl>
    <w:p w14:paraId="2499BEFB" w14:textId="77777777" w:rsidR="00EA0B11" w:rsidRPr="00EA0B11" w:rsidRDefault="00EA0B11" w:rsidP="00DD2A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08"/>
        <w:gridCol w:w="6863"/>
      </w:tblGrid>
      <w:tr w:rsidR="00EA0B11" w:rsidRPr="00EA0B11" w14:paraId="76D305D6" w14:textId="77777777" w:rsidTr="00EA0B11">
        <w:trPr>
          <w:jc w:val="center"/>
        </w:trPr>
        <w:tc>
          <w:tcPr>
            <w:tcW w:w="14560" w:type="dxa"/>
            <w:gridSpan w:val="2"/>
          </w:tcPr>
          <w:p w14:paraId="39406798" w14:textId="77777777" w:rsidR="00EA0B11" w:rsidRPr="00EA0B11" w:rsidRDefault="00EA0B11" w:rsidP="00DD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Земельный налог в г. Москве</w:t>
            </w:r>
          </w:p>
        </w:tc>
      </w:tr>
      <w:tr w:rsidR="00EA0B11" w:rsidRPr="00EA0B11" w14:paraId="1C5A0EF0" w14:textId="77777777" w:rsidTr="00EA0B11">
        <w:trPr>
          <w:jc w:val="center"/>
        </w:trPr>
        <w:tc>
          <w:tcPr>
            <w:tcW w:w="3823" w:type="dxa"/>
          </w:tcPr>
          <w:p w14:paraId="1893D7DC" w14:textId="77777777" w:rsidR="00EA0B11" w:rsidRPr="00EA0B11" w:rsidRDefault="00EA0B11" w:rsidP="00DD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E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от кадастровой стоимости</w:t>
            </w:r>
          </w:p>
        </w:tc>
        <w:tc>
          <w:tcPr>
            <w:tcW w:w="10737" w:type="dxa"/>
          </w:tcPr>
          <w:p w14:paraId="7ACCC2CC" w14:textId="77777777" w:rsidR="00EA0B11" w:rsidRPr="00EA0B11" w:rsidRDefault="00EA0B11" w:rsidP="00DD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Применяется к ЗУ</w:t>
            </w:r>
          </w:p>
        </w:tc>
      </w:tr>
      <w:tr w:rsidR="00EA0B11" w:rsidRPr="00EA0B11" w14:paraId="7379C40A" w14:textId="77777777" w:rsidTr="00EA0B11">
        <w:trPr>
          <w:jc w:val="center"/>
        </w:trPr>
        <w:tc>
          <w:tcPr>
            <w:tcW w:w="3823" w:type="dxa"/>
            <w:vAlign w:val="center"/>
          </w:tcPr>
          <w:p w14:paraId="45FBC65C" w14:textId="77777777" w:rsidR="00EA0B11" w:rsidRPr="00EA0B11" w:rsidRDefault="00EA0B11" w:rsidP="00EA0B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0B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,025%</w:t>
            </w:r>
          </w:p>
        </w:tc>
        <w:tc>
          <w:tcPr>
            <w:tcW w:w="10737" w:type="dxa"/>
            <w:vAlign w:val="center"/>
          </w:tcPr>
          <w:p w14:paraId="66F58199" w14:textId="77777777" w:rsidR="00EA0B11" w:rsidRPr="00EA0B11" w:rsidRDefault="00EA0B11" w:rsidP="00EA0B1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</w:tr>
      <w:tr w:rsidR="00EA0B11" w:rsidRPr="00EA0B11" w14:paraId="24D20747" w14:textId="77777777" w:rsidTr="00EA0B11">
        <w:trPr>
          <w:jc w:val="center"/>
        </w:trPr>
        <w:tc>
          <w:tcPr>
            <w:tcW w:w="3823" w:type="dxa"/>
            <w:vAlign w:val="center"/>
          </w:tcPr>
          <w:p w14:paraId="21629E55" w14:textId="77777777" w:rsidR="00EA0B11" w:rsidRPr="00EA0B11" w:rsidRDefault="00EA0B11" w:rsidP="00EA0B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10737" w:type="dxa"/>
            <w:vAlign w:val="center"/>
          </w:tcPr>
          <w:p w14:paraId="5F60EF87" w14:textId="77777777" w:rsidR="00EA0B11" w:rsidRPr="00EA0B11" w:rsidRDefault="00EA0B11" w:rsidP="00EA0B1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автостоянками для долговременного хранения индивидуального автотранспорта и многоэтажными гаражами-стоянками,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предоставленные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</w:tr>
      <w:tr w:rsidR="00EA0B11" w:rsidRPr="00EA0B11" w14:paraId="289C97FA" w14:textId="77777777" w:rsidTr="00EA0B11">
        <w:trPr>
          <w:jc w:val="center"/>
        </w:trPr>
        <w:tc>
          <w:tcPr>
            <w:tcW w:w="3823" w:type="dxa"/>
            <w:vAlign w:val="center"/>
          </w:tcPr>
          <w:p w14:paraId="286E0496" w14:textId="77777777" w:rsidR="00EA0B11" w:rsidRPr="00EA0B11" w:rsidRDefault="00EA0B11" w:rsidP="00EA0B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0737" w:type="dxa"/>
            <w:vAlign w:val="center"/>
          </w:tcPr>
          <w:p w14:paraId="1FB2C782" w14:textId="77777777" w:rsidR="00EA0B11" w:rsidRPr="00EA0B11" w:rsidRDefault="00EA0B11" w:rsidP="00EA0B1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земельные участки, отнесенные к землям в составе зон сельскохозяйственного использования в городе Москве и используемые для сельскохозяйственного производства, а также земельные участки, предоставленные и используемые для эксплуатации объектов спорта, в том числе спортивных сооружений</w:t>
            </w:r>
          </w:p>
        </w:tc>
      </w:tr>
      <w:tr w:rsidR="00EA0B11" w:rsidRPr="00EA0B11" w14:paraId="541ACE08" w14:textId="77777777" w:rsidTr="00EA0B11">
        <w:trPr>
          <w:jc w:val="center"/>
        </w:trPr>
        <w:tc>
          <w:tcPr>
            <w:tcW w:w="3823" w:type="dxa"/>
            <w:vAlign w:val="center"/>
          </w:tcPr>
          <w:p w14:paraId="1A7F0BD1" w14:textId="77777777" w:rsidR="00EA0B11" w:rsidRPr="00EA0B11" w:rsidRDefault="00EA0B11" w:rsidP="00EA0B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1,5%</w:t>
            </w:r>
          </w:p>
        </w:tc>
        <w:tc>
          <w:tcPr>
            <w:tcW w:w="10737" w:type="dxa"/>
            <w:vAlign w:val="center"/>
          </w:tcPr>
          <w:p w14:paraId="16F51B08" w14:textId="77777777" w:rsidR="00EA0B11" w:rsidRPr="00EA0B11" w:rsidRDefault="00EA0B11" w:rsidP="00EA0B1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1"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</w:t>
            </w:r>
          </w:p>
        </w:tc>
      </w:tr>
    </w:tbl>
    <w:p w14:paraId="235EF7BA" w14:textId="77777777" w:rsidR="00EA0B11" w:rsidRPr="00DD2AA0" w:rsidRDefault="00EA0B11" w:rsidP="00DD2AA0">
      <w:pPr>
        <w:jc w:val="center"/>
        <w:rPr>
          <w:rFonts w:ascii="Times New Roman" w:hAnsi="Times New Roman" w:cs="Times New Roman"/>
          <w:sz w:val="24"/>
        </w:rPr>
      </w:pPr>
    </w:p>
    <w:sectPr w:rsidR="00EA0B11" w:rsidRPr="00DD2AA0" w:rsidSect="00C95E3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E5E1" w14:textId="77777777" w:rsidR="00332F0F" w:rsidRDefault="00332F0F" w:rsidP="00DD2AA0">
      <w:pPr>
        <w:spacing w:after="0" w:line="240" w:lineRule="auto"/>
      </w:pPr>
      <w:r>
        <w:separator/>
      </w:r>
    </w:p>
  </w:endnote>
  <w:endnote w:type="continuationSeparator" w:id="0">
    <w:p w14:paraId="4158A933" w14:textId="77777777" w:rsidR="00332F0F" w:rsidRDefault="00332F0F" w:rsidP="00DD2AA0">
      <w:pPr>
        <w:spacing w:after="0" w:line="240" w:lineRule="auto"/>
      </w:pPr>
      <w:r>
        <w:continuationSeparator/>
      </w:r>
    </w:p>
  </w:endnote>
  <w:endnote w:id="1">
    <w:p w14:paraId="7A5AF1E5" w14:textId="77777777" w:rsidR="00C95E36" w:rsidRPr="004D2E6E" w:rsidRDefault="00C95E3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D2E6E">
        <w:rPr>
          <w:rStyle w:val="a9"/>
          <w:rFonts w:ascii="Times New Roman" w:hAnsi="Times New Roman" w:cs="Times New Roman"/>
          <w:b/>
          <w:sz w:val="28"/>
          <w:szCs w:val="28"/>
        </w:rPr>
        <w:endnoteRef/>
      </w:r>
      <w:r w:rsidRPr="004D2E6E">
        <w:rPr>
          <w:rFonts w:ascii="Times New Roman" w:hAnsi="Times New Roman" w:cs="Times New Roman"/>
          <w:b/>
          <w:sz w:val="28"/>
          <w:szCs w:val="28"/>
        </w:rPr>
        <w:t xml:space="preserve"> ЗУ – Земельный участок</w:t>
      </w:r>
      <w:r w:rsidR="004D2E6E" w:rsidRPr="004D2E6E">
        <w:rPr>
          <w:rFonts w:ascii="Times New Roman" w:hAnsi="Times New Roman" w:cs="Times New Roman"/>
          <w:b/>
          <w:sz w:val="28"/>
          <w:szCs w:val="28"/>
        </w:rPr>
        <w:br/>
      </w:r>
    </w:p>
  </w:endnote>
  <w:endnote w:id="2">
    <w:p w14:paraId="0DFEC6CB" w14:textId="77777777" w:rsidR="00C95E36" w:rsidRPr="00EA0B11" w:rsidRDefault="00C95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0B11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EA0B11">
        <w:rPr>
          <w:rFonts w:ascii="Times New Roman" w:hAnsi="Times New Roman" w:cs="Times New Roman"/>
          <w:sz w:val="24"/>
          <w:szCs w:val="24"/>
        </w:rPr>
        <w:t xml:space="preserve"> Нарушение – использование Земельного участка с нарушением установленных требований к оформлению документов, являющихся основанием для его использования</w:t>
      </w:r>
    </w:p>
  </w:endnote>
  <w:endnote w:id="3">
    <w:p w14:paraId="021D231B" w14:textId="77777777" w:rsidR="00C95E36" w:rsidRPr="00EA0B11" w:rsidRDefault="00C95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0B11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EA0B11">
        <w:rPr>
          <w:rFonts w:ascii="Times New Roman" w:hAnsi="Times New Roman" w:cs="Times New Roman"/>
          <w:sz w:val="24"/>
          <w:szCs w:val="24"/>
        </w:rPr>
        <w:t xml:space="preserve"> Самовольное занятие земельного участка или части земельного участка, в т.ч. использование ЗУ лицом, не имеющим на это прав.</w:t>
      </w:r>
    </w:p>
  </w:endnote>
  <w:endnote w:id="4">
    <w:p w14:paraId="32D86F9E" w14:textId="77777777" w:rsidR="00C95E36" w:rsidRPr="00EA0B11" w:rsidRDefault="00C95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0B11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EA0B11">
        <w:rPr>
          <w:rFonts w:ascii="Times New Roman" w:hAnsi="Times New Roman" w:cs="Times New Roman"/>
          <w:sz w:val="24"/>
          <w:szCs w:val="24"/>
        </w:rPr>
        <w:t xml:space="preserve"> Департамент городского имущества города Москвы</w:t>
      </w:r>
    </w:p>
  </w:endnote>
  <w:endnote w:id="5">
    <w:p w14:paraId="343ECBB4" w14:textId="77777777" w:rsidR="00C95E36" w:rsidRPr="00EA0B11" w:rsidRDefault="00C95E3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0B11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EA0B11">
        <w:rPr>
          <w:rFonts w:ascii="Times New Roman" w:hAnsi="Times New Roman" w:cs="Times New Roman"/>
          <w:sz w:val="24"/>
          <w:szCs w:val="24"/>
        </w:rPr>
        <w:t xml:space="preserve"> В соответствии со ст. 7 ЗК РФ, ст. 37 </w:t>
      </w:r>
      <w:proofErr w:type="spellStart"/>
      <w:r w:rsidRPr="00EA0B11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A0B11">
        <w:rPr>
          <w:rFonts w:ascii="Times New Roman" w:hAnsi="Times New Roman" w:cs="Times New Roman"/>
          <w:sz w:val="24"/>
          <w:szCs w:val="24"/>
        </w:rPr>
        <w:t xml:space="preserve"> РФ</w:t>
      </w:r>
    </w:p>
  </w:endnote>
  <w:endnote w:id="6">
    <w:p w14:paraId="681997EC" w14:textId="77777777" w:rsidR="00C95E36" w:rsidRPr="00EA0B11" w:rsidRDefault="00C95E36">
      <w:pPr>
        <w:pStyle w:val="a7"/>
        <w:rPr>
          <w:rFonts w:ascii="Times New Roman" w:hAnsi="Times New Roman" w:cs="Times New Roman"/>
          <w:sz w:val="24"/>
        </w:rPr>
      </w:pPr>
      <w:r w:rsidRPr="00EA0B11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EA0B11">
        <w:rPr>
          <w:rFonts w:ascii="Times New Roman" w:hAnsi="Times New Roman" w:cs="Times New Roman"/>
          <w:sz w:val="24"/>
          <w:szCs w:val="24"/>
        </w:rPr>
        <w:t xml:space="preserve"> Согласно пунктам 10 и 10.1 статьи 1 </w:t>
      </w:r>
      <w:proofErr w:type="spellStart"/>
      <w:r w:rsidRPr="00EA0B11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A0B11">
        <w:rPr>
          <w:rFonts w:ascii="Times New Roman" w:hAnsi="Times New Roman" w:cs="Times New Roman"/>
          <w:sz w:val="24"/>
          <w:szCs w:val="24"/>
        </w:rPr>
        <w:t xml:space="preserve"> РФ – к объектам капитального строительства относятся здания, строения, сооружения, объекты, строительство которых не завершено, в том числе линейные объекты (линии электропередачи, линии связи, трубопроводы, автомобильные</w:t>
      </w:r>
      <w:r w:rsidRPr="00EA0B11">
        <w:rPr>
          <w:rFonts w:ascii="Times New Roman" w:hAnsi="Times New Roman" w:cs="Times New Roman"/>
          <w:sz w:val="28"/>
        </w:rPr>
        <w:t xml:space="preserve"> </w:t>
      </w:r>
      <w:r w:rsidRPr="00EA0B11">
        <w:rPr>
          <w:rFonts w:ascii="Times New Roman" w:hAnsi="Times New Roman" w:cs="Times New Roman"/>
          <w:sz w:val="24"/>
        </w:rPr>
        <w:t>дороги, железнодорожные линии и другие подобные сооружения). (С учетом письма Министерства строительства и жилищно-коммунального хозяйства РФ от 11 июля 2018 года N 30418-АС/08)</w:t>
      </w:r>
    </w:p>
  </w:endnote>
  <w:endnote w:id="7">
    <w:p w14:paraId="38E62947" w14:textId="77777777" w:rsidR="00C95E36" w:rsidRPr="00EA0B11" w:rsidRDefault="00C95E36">
      <w:pPr>
        <w:pStyle w:val="a7"/>
        <w:rPr>
          <w:rFonts w:ascii="Times New Roman" w:hAnsi="Times New Roman" w:cs="Times New Roman"/>
          <w:sz w:val="24"/>
        </w:rPr>
      </w:pPr>
      <w:r w:rsidRPr="00EA0B11">
        <w:rPr>
          <w:rStyle w:val="a9"/>
          <w:rFonts w:ascii="Times New Roman" w:hAnsi="Times New Roman" w:cs="Times New Roman"/>
          <w:sz w:val="24"/>
        </w:rPr>
        <w:endnoteRef/>
      </w:r>
      <w:r w:rsidRPr="00EA0B11">
        <w:rPr>
          <w:rFonts w:ascii="Times New Roman" w:hAnsi="Times New Roman" w:cs="Times New Roman"/>
          <w:sz w:val="24"/>
        </w:rPr>
        <w:t xml:space="preserve"> Комплексного развития территорий в соответствии со ст. 56.12 ЗК РФ, ст. 65 </w:t>
      </w:r>
      <w:proofErr w:type="spellStart"/>
      <w:r w:rsidRPr="00EA0B11">
        <w:rPr>
          <w:rFonts w:ascii="Times New Roman" w:hAnsi="Times New Roman" w:cs="Times New Roman"/>
          <w:sz w:val="24"/>
        </w:rPr>
        <w:t>ГрК</w:t>
      </w:r>
      <w:proofErr w:type="spellEnd"/>
      <w:r w:rsidRPr="00EA0B11">
        <w:rPr>
          <w:rFonts w:ascii="Times New Roman" w:hAnsi="Times New Roman" w:cs="Times New Roman"/>
          <w:sz w:val="24"/>
        </w:rPr>
        <w:t xml:space="preserve"> РФ</w:t>
      </w:r>
    </w:p>
  </w:endnote>
  <w:endnote w:id="8">
    <w:p w14:paraId="70CA5BE3" w14:textId="77777777" w:rsidR="00C95E36" w:rsidRPr="00455CCC" w:rsidRDefault="00C95E36">
      <w:pPr>
        <w:pStyle w:val="a7"/>
      </w:pPr>
      <w:r w:rsidRPr="00EA0B11">
        <w:rPr>
          <w:rStyle w:val="a9"/>
          <w:rFonts w:ascii="Times New Roman" w:hAnsi="Times New Roman" w:cs="Times New Roman"/>
          <w:sz w:val="24"/>
        </w:rPr>
        <w:endnoteRef/>
      </w:r>
      <w:r w:rsidRPr="00EA0B11">
        <w:rPr>
          <w:rFonts w:ascii="Times New Roman" w:hAnsi="Times New Roman" w:cs="Times New Roman"/>
          <w:sz w:val="24"/>
        </w:rPr>
        <w:t xml:space="preserve"> Единый государственный реестр недвижимости</w:t>
      </w:r>
      <w:r w:rsidRPr="00EA0B11"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1B4B" w14:textId="77777777" w:rsidR="00332F0F" w:rsidRDefault="00332F0F" w:rsidP="00DD2AA0">
      <w:pPr>
        <w:spacing w:after="0" w:line="240" w:lineRule="auto"/>
      </w:pPr>
      <w:r>
        <w:separator/>
      </w:r>
    </w:p>
  </w:footnote>
  <w:footnote w:type="continuationSeparator" w:id="0">
    <w:p w14:paraId="4A40C155" w14:textId="77777777" w:rsidR="00332F0F" w:rsidRDefault="00332F0F" w:rsidP="00DD2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AA0"/>
    <w:rsid w:val="0003244D"/>
    <w:rsid w:val="00332F0F"/>
    <w:rsid w:val="003856B0"/>
    <w:rsid w:val="00455CCC"/>
    <w:rsid w:val="004D2E6E"/>
    <w:rsid w:val="00595D90"/>
    <w:rsid w:val="005E52BD"/>
    <w:rsid w:val="00777424"/>
    <w:rsid w:val="007C2040"/>
    <w:rsid w:val="00892F83"/>
    <w:rsid w:val="00A01EA6"/>
    <w:rsid w:val="00C44C45"/>
    <w:rsid w:val="00C5673E"/>
    <w:rsid w:val="00C84EA9"/>
    <w:rsid w:val="00C95E36"/>
    <w:rsid w:val="00CE78EA"/>
    <w:rsid w:val="00D42C52"/>
    <w:rsid w:val="00D46D16"/>
    <w:rsid w:val="00D53EE3"/>
    <w:rsid w:val="00DD2AA0"/>
    <w:rsid w:val="00EA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8683"/>
  <w15:docId w15:val="{35868246-EC67-46ED-81CD-A93CD736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73E"/>
  </w:style>
  <w:style w:type="paragraph" w:styleId="2">
    <w:name w:val="heading 2"/>
    <w:basedOn w:val="a"/>
    <w:link w:val="20"/>
    <w:uiPriority w:val="9"/>
    <w:qFormat/>
    <w:rsid w:val="0089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D2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2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D2AA0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95E3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95E3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95E36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9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glasie-1.ru/kommentarii-k-povestke-dnja-sobranija-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40A33-0C89-47EB-A979-6F2D2C4C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Акатнова</dc:creator>
  <cp:lastModifiedBy>User</cp:lastModifiedBy>
  <cp:revision>5</cp:revision>
  <dcterms:created xsi:type="dcterms:W3CDTF">2023-11-20T10:59:00Z</dcterms:created>
  <dcterms:modified xsi:type="dcterms:W3CDTF">2023-11-23T10:13:00Z</dcterms:modified>
</cp:coreProperties>
</file>