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D1" w:rsidRDefault="00BF3610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518160</wp:posOffset>
            </wp:positionH>
            <wp:positionV relativeFrom="page">
              <wp:posOffset>312420</wp:posOffset>
            </wp:positionV>
            <wp:extent cx="6561455" cy="177863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70801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CD1" w:rsidRDefault="001B1CD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1B1CD1" w:rsidRDefault="001B1CD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1B1CD1" w:rsidRDefault="001B1CD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1B1CD1" w:rsidRDefault="001B1CD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1B1CD1" w:rsidRDefault="001B1CD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1B1CD1" w:rsidRDefault="001B1CD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1B1CD1" w:rsidRDefault="00BF3610">
      <w:pPr>
        <w:pStyle w:val="1"/>
        <w:tabs>
          <w:tab w:val="left" w:pos="2503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«Утверждаю»</w:t>
      </w:r>
    </w:p>
    <w:p w:rsidR="001B1CD1" w:rsidRDefault="001B1CD1">
      <w:pPr>
        <w:pStyle w:val="1"/>
        <w:tabs>
          <w:tab w:val="left" w:pos="2503"/>
        </w:tabs>
        <w:jc w:val="right"/>
        <w:rPr>
          <w:b/>
          <w:sz w:val="8"/>
          <w:szCs w:val="8"/>
          <w:u w:val="single"/>
        </w:rPr>
      </w:pPr>
    </w:p>
    <w:p w:rsidR="001B1CD1" w:rsidRDefault="00BF3610">
      <w:pPr>
        <w:pStyle w:val="1"/>
        <w:tabs>
          <w:tab w:val="right" w:pos="10148"/>
        </w:tabs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 испытательного центра</w:t>
      </w:r>
    </w:p>
    <w:p w:rsidR="001B1CD1" w:rsidRDefault="00BF3610">
      <w:pPr>
        <w:pStyle w:val="1"/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>М.В. Морина</w:t>
      </w:r>
    </w:p>
    <w:p w:rsidR="00BF3610" w:rsidRDefault="00BF3610">
      <w:pPr>
        <w:pStyle w:val="1"/>
        <w:spacing w:before="120"/>
        <w:jc w:val="right"/>
        <w:rPr>
          <w:sz w:val="26"/>
          <w:szCs w:val="26"/>
        </w:rPr>
      </w:pPr>
    </w:p>
    <w:p w:rsidR="00BF3610" w:rsidRDefault="00BF3610">
      <w:pPr>
        <w:pStyle w:val="1"/>
        <w:spacing w:before="120"/>
        <w:jc w:val="right"/>
        <w:rPr>
          <w:sz w:val="26"/>
          <w:szCs w:val="26"/>
        </w:rPr>
      </w:pPr>
    </w:p>
    <w:p w:rsidR="001B1CD1" w:rsidRDefault="00BF3610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испытаний № ВП-22285/23</w:t>
      </w:r>
    </w:p>
    <w:p w:rsidR="001B1CD1" w:rsidRDefault="00BF361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«20» июля 2023 г.</w:t>
      </w:r>
    </w:p>
    <w:p w:rsidR="001B1CD1" w:rsidRDefault="00BF3610">
      <w:pPr>
        <w:pStyle w:val="1"/>
        <w:jc w:val="right"/>
      </w:pPr>
      <w:r>
        <w:t xml:space="preserve">Лист </w:t>
      </w:r>
      <w:r>
        <w:fldChar w:fldCharType="begin"/>
      </w:r>
      <w:r>
        <w:instrText xml:space="preserve"> PAGE </w:instrText>
      </w:r>
      <w:r>
        <w:fldChar w:fldCharType="separate"/>
      </w:r>
      <w:r>
        <w:t>1</w:t>
      </w:r>
      <w:r>
        <w:fldChar w:fldCharType="end"/>
      </w:r>
      <w:r>
        <w:t xml:space="preserve"> из 2</w:t>
      </w:r>
    </w:p>
    <w:p w:rsidR="001B1CD1" w:rsidRDefault="00BF3610">
      <w:pPr>
        <w:pStyle w:val="1"/>
        <w:rPr>
          <w:b/>
          <w:sz w:val="26"/>
          <w:szCs w:val="26"/>
        </w:rPr>
      </w:pPr>
      <w:r>
        <w:rPr>
          <w:sz w:val="22"/>
          <w:szCs w:val="22"/>
          <w:u w:val="single"/>
        </w:rPr>
        <w:t>Заказчик</w:t>
      </w:r>
      <w:r>
        <w:rPr>
          <w:sz w:val="26"/>
          <w:szCs w:val="26"/>
        </w:rPr>
        <w:t xml:space="preserve">: </w:t>
      </w:r>
      <w:r>
        <w:rPr>
          <w:b/>
          <w:sz w:val="28"/>
          <w:szCs w:val="28"/>
        </w:rPr>
        <w:t>ТСН КП «Согласие 1»</w:t>
      </w:r>
    </w:p>
    <w:p w:rsidR="001B1CD1" w:rsidRDefault="00BF3610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Объект испытаний</w:t>
      </w:r>
      <w:r>
        <w:rPr>
          <w:sz w:val="22"/>
          <w:szCs w:val="22"/>
        </w:rPr>
        <w:t>:</w:t>
      </w:r>
      <w:r>
        <w:rPr>
          <w:sz w:val="26"/>
          <w:szCs w:val="26"/>
        </w:rPr>
        <w:t xml:space="preserve"> Проба питьевой воды</w:t>
      </w:r>
    </w:p>
    <w:p w:rsidR="001B1CD1" w:rsidRDefault="00BF3610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Акт отбора пробы</w:t>
      </w:r>
      <w:r>
        <w:rPr>
          <w:sz w:val="22"/>
          <w:szCs w:val="22"/>
        </w:rPr>
        <w:t>:</w:t>
      </w:r>
      <w:r>
        <w:rPr>
          <w:sz w:val="26"/>
          <w:szCs w:val="26"/>
        </w:rPr>
        <w:t xml:space="preserve"> Акт отбора ИЦ</w:t>
      </w:r>
    </w:p>
    <w:p w:rsidR="001B1CD1" w:rsidRDefault="00BF3610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Дата отбора пробы</w:t>
      </w:r>
      <w:r>
        <w:rPr>
          <w:sz w:val="22"/>
          <w:szCs w:val="22"/>
        </w:rPr>
        <w:t xml:space="preserve">: </w:t>
      </w:r>
      <w:r>
        <w:rPr>
          <w:sz w:val="26"/>
          <w:szCs w:val="26"/>
        </w:rPr>
        <w:t>14.07.2023</w:t>
      </w:r>
    </w:p>
    <w:p w:rsidR="001B1CD1" w:rsidRDefault="00BF3610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Место отбора пробы</w:t>
      </w:r>
      <w:r>
        <w:rPr>
          <w:sz w:val="22"/>
          <w:szCs w:val="22"/>
        </w:rPr>
        <w:t xml:space="preserve">: </w:t>
      </w:r>
      <w:r>
        <w:rPr>
          <w:sz w:val="26"/>
          <w:szCs w:val="26"/>
        </w:rPr>
        <w:t>г. Москва, пос. Первомайское, д. Фоминское, ТСН КП «Согласие 1», ВЗУ, скважина, кран</w:t>
      </w:r>
    </w:p>
    <w:p w:rsidR="001B1CD1" w:rsidRDefault="00BF3610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Дата принятия пробы в работу</w:t>
      </w:r>
      <w:r>
        <w:rPr>
          <w:sz w:val="22"/>
          <w:szCs w:val="22"/>
        </w:rPr>
        <w:t>:</w:t>
      </w:r>
      <w:r>
        <w:rPr>
          <w:sz w:val="26"/>
          <w:szCs w:val="26"/>
        </w:rPr>
        <w:t xml:space="preserve"> 14.07.2023</w:t>
      </w:r>
    </w:p>
    <w:p w:rsidR="001B1CD1" w:rsidRDefault="00BF3610">
      <w:pPr>
        <w:pStyle w:val="1"/>
        <w:ind w:right="-200"/>
        <w:rPr>
          <w:sz w:val="26"/>
          <w:szCs w:val="26"/>
        </w:rPr>
      </w:pPr>
      <w:r>
        <w:rPr>
          <w:sz w:val="22"/>
          <w:szCs w:val="22"/>
          <w:u w:val="single"/>
        </w:rPr>
        <w:t>Даты проведения испытаний: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14.07.2023 - 20.07.2023</w:t>
      </w:r>
    </w:p>
    <w:p w:rsidR="001B1CD1" w:rsidRDefault="001B1CD1">
      <w:pPr>
        <w:pStyle w:val="1"/>
        <w:ind w:right="-200"/>
        <w:rPr>
          <w:b/>
        </w:rPr>
      </w:pPr>
    </w:p>
    <w:tbl>
      <w:tblPr>
        <w:tblW w:w="1024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3"/>
        <w:gridCol w:w="4136"/>
        <w:gridCol w:w="1418"/>
        <w:gridCol w:w="1701"/>
        <w:gridCol w:w="2477"/>
      </w:tblGrid>
      <w:tr w:rsidR="001B1CD1" w:rsidTr="00BF3610">
        <w:trPr>
          <w:cantSplit/>
          <w:trHeight w:val="420"/>
          <w:tblHeader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1CD1" w:rsidRDefault="00BF3610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CD1" w:rsidRDefault="00BF3610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Номенклатура показателей, </w:t>
            </w:r>
          </w:p>
          <w:p w:rsidR="001B1CD1" w:rsidRDefault="00BF3610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CD1" w:rsidRDefault="00BF3610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CD1" w:rsidRDefault="00BF3610">
            <w:pPr>
              <w:pStyle w:val="1"/>
              <w:ind w:left="-122" w:right="-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ПДК</w:t>
            </w:r>
          </w:p>
          <w:p w:rsidR="001B1CD1" w:rsidRDefault="00BF3610">
            <w:pPr>
              <w:pStyle w:val="1"/>
              <w:ind w:left="-122" w:right="-47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(предельно допустимая концентрация), </w:t>
            </w:r>
            <w:r>
              <w:rPr>
                <w:sz w:val="22"/>
                <w:szCs w:val="22"/>
              </w:rPr>
              <w:t>по</w:t>
            </w:r>
            <w:r>
              <w:rPr>
                <w:b/>
                <w:sz w:val="24"/>
                <w:szCs w:val="24"/>
              </w:rPr>
              <w:t>[1]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1CD1" w:rsidRDefault="00BF3610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испытаний</w:t>
            </w:r>
          </w:p>
          <w:p w:rsidR="001B1CD1" w:rsidRDefault="00BF3610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(ссылка на НД)</w:t>
            </w:r>
          </w:p>
        </w:tc>
      </w:tr>
      <w:tr w:rsidR="001B1CD1">
        <w:tc>
          <w:tcPr>
            <w:tcW w:w="0" w:type="auto"/>
            <w:gridSpan w:val="5"/>
            <w:vAlign w:val="center"/>
          </w:tcPr>
          <w:p w:rsidR="001B1CD1" w:rsidRDefault="00BF3610">
            <w:pPr>
              <w:jc w:val="center"/>
            </w:pPr>
            <w:r>
              <w:rPr>
                <w:b/>
                <w:sz w:val="22"/>
              </w:rPr>
              <w:t>Обобщенные показатели состава и свойств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Водородный показатель (рН), ед. pH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7.45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6.0 - 9.0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ФР.1.31.2005.01774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Общая минерализация (сухой остаток),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630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1000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ПНД Ф 14.1:2:4.261-10 (п. 11.1)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Жесткость общая, °Ж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6.0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7.0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ГОСТ 31954-2012 (метод А)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Перманганатная окисляемость, мгО/дм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2.4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5.0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ПНД Ф 14.1:2:4.154-99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Нефтепродукты (суммарно) 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&lt; 0.005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0.1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ПНД Ф 14.1:2:4.128-98</w:t>
            </w:r>
          </w:p>
        </w:tc>
      </w:tr>
      <w:tr w:rsidR="001B1CD1">
        <w:tc>
          <w:tcPr>
            <w:tcW w:w="0" w:type="auto"/>
            <w:gridSpan w:val="5"/>
            <w:vAlign w:val="center"/>
          </w:tcPr>
          <w:p w:rsidR="001B1CD1" w:rsidRDefault="00BF3610">
            <w:pPr>
              <w:jc w:val="center"/>
            </w:pPr>
            <w:r>
              <w:rPr>
                <w:b/>
                <w:sz w:val="22"/>
              </w:rPr>
              <w:t>Показатели содержания химических веществ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Алюминий,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0.034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0.2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ГОСТ 31870-2012 (Метод 1)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b/>
                <w:sz w:val="22"/>
              </w:rPr>
              <w:t>Железо общее, мг/дм</w:t>
            </w:r>
            <w:r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b/>
                <w:sz w:val="22"/>
              </w:rPr>
              <w:t>0.89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rPr>
                <w:b/>
              </w:rPr>
              <w:t>0.3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Методика № 01.1:1.4.2:2.18-05 (ФР.1.31.2006.02319)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Кадмий,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&lt; 0.0001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0.001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 xml:space="preserve">ГОСТ 31870-2012  </w:t>
            </w:r>
            <w:r>
              <w:rPr>
                <w:sz w:val="18"/>
              </w:rPr>
              <w:t>(Метод 1)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Литий,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&lt; 0.002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0.03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ПНД Ф 14.1:2.253-09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Магний,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19.6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50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ПНД Ф 14.1:2:4.167-2000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b/>
                <w:sz w:val="22"/>
              </w:rPr>
              <w:t>Марганец, мг/дм</w:t>
            </w:r>
            <w:r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b/>
                <w:sz w:val="22"/>
              </w:rPr>
              <w:t>0.20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rPr>
                <w:b/>
              </w:rPr>
              <w:t>0.1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ГОСТ 31870-2012  (Метод 1)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Медь,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0.0080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1.0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ГОСТ 31870-2012  (Метод 1)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Молибден,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&lt; 0.001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0.07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 xml:space="preserve">ГОСТ </w:t>
            </w:r>
            <w:r>
              <w:rPr>
                <w:sz w:val="18"/>
              </w:rPr>
              <w:t>31870-2012  (Метод 1)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Мышьяк,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&lt; 0.005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0.01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ГОСТ 31870-2012  (Метод 1)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Натрий,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29.4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200.0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ПНД Ф 14.1:2:4.167-2000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Никель,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&lt; 0.001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0.02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ГОСТ 31870-2012  (Метод 1)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Нитраты,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&lt; 0.6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45.0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ФР.1.31.2005.01774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Нитриты,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0.072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3.0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ПНД Ф 14.1:2:4.3-95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Ртуть,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&lt; 0.0001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0.0005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ГОСТ 31950-2012 (метод 1)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Свинец,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&lt; 0.001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0.01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ГОСТ 31870-2012  (Метод 1)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Селен,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&lt; 0.002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0.01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ГОСТ 31870-2012  (Метод 1)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Сероводород,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&lt; 0.002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0.05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 xml:space="preserve">ПНД Ф </w:t>
            </w:r>
            <w:r>
              <w:rPr>
                <w:sz w:val="18"/>
              </w:rPr>
              <w:t>14.1:2:4.178-02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Сульфаты,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51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500.0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ГОСТ 31940-2012, метод 2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Фториды,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0.32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1.5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ФР.1.31.2005.01774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Хлориды,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350.0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ФР1.31.2005.01774</w:t>
            </w:r>
          </w:p>
        </w:tc>
      </w:tr>
      <w:tr w:rsidR="001B1CD1">
        <w:tc>
          <w:tcPr>
            <w:tcW w:w="0" w:type="auto"/>
            <w:gridSpan w:val="5"/>
            <w:vAlign w:val="center"/>
          </w:tcPr>
          <w:p w:rsidR="001B1CD1" w:rsidRDefault="00BF3610">
            <w:pPr>
              <w:jc w:val="center"/>
            </w:pPr>
            <w:r>
              <w:rPr>
                <w:b/>
                <w:sz w:val="22"/>
              </w:rPr>
              <w:t>Показатели физиологической полноценности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Гидрокарбонаты,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390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30 - 400*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ГОСТ 31957-2012</w:t>
            </w:r>
            <w:r>
              <w:rPr>
                <w:sz w:val="18"/>
              </w:rPr>
              <w:t xml:space="preserve"> (метод А)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Щелочность общая, ммоль-экв/дм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6.4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0.5 - 6.5*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ГОСТ 31957-2012 (метод А)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Калий,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5.9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20*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ПНД Ф 14.1:2:4.167-2000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Кальций,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86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25 - 130*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ПНД Ф 14.1:2:4.167-2000</w:t>
            </w:r>
          </w:p>
        </w:tc>
      </w:tr>
      <w:tr w:rsidR="001B1CD1">
        <w:tc>
          <w:tcPr>
            <w:tcW w:w="0" w:type="auto"/>
            <w:gridSpan w:val="5"/>
            <w:vAlign w:val="center"/>
          </w:tcPr>
          <w:p w:rsidR="001B1CD1" w:rsidRDefault="00BF3610">
            <w:pPr>
              <w:jc w:val="center"/>
            </w:pPr>
            <w:r>
              <w:rPr>
                <w:b/>
                <w:sz w:val="22"/>
              </w:rPr>
              <w:t>Органолептические показатели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Цветность, градусы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5.0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20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 xml:space="preserve">ГОСТ </w:t>
            </w:r>
            <w:r>
              <w:rPr>
                <w:sz w:val="18"/>
              </w:rPr>
              <w:t>31868-2012 (метод Б)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b/>
                <w:sz w:val="22"/>
              </w:rPr>
              <w:t>Мутность, ЕМФ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b/>
                <w:sz w:val="22"/>
              </w:rPr>
              <w:t>10.8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rPr>
                <w:b/>
              </w:rPr>
              <w:t>2.6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ПНД Ф 14.1:2:3:4.213-05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Привкус, баллы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2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ГОСТ Р 57164-2016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Запах, баллы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2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ГОСТ Р 57164-2016</w:t>
            </w:r>
          </w:p>
        </w:tc>
      </w:tr>
      <w:tr w:rsidR="001B1CD1">
        <w:tc>
          <w:tcPr>
            <w:tcW w:w="0" w:type="auto"/>
            <w:gridSpan w:val="5"/>
            <w:vAlign w:val="center"/>
          </w:tcPr>
          <w:p w:rsidR="001B1CD1" w:rsidRDefault="00BF3610">
            <w:pPr>
              <w:jc w:val="center"/>
            </w:pPr>
            <w:r>
              <w:rPr>
                <w:b/>
                <w:sz w:val="22"/>
              </w:rPr>
              <w:t xml:space="preserve">Санитарно-микробиологические и паразитологические показатели 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 xml:space="preserve">Общее микробное число (ОМЧ) при (37±1,0)°С, </w:t>
            </w:r>
            <w:r>
              <w:rPr>
                <w:sz w:val="22"/>
              </w:rPr>
              <w:t>КОЕ/см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Не обнаружено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50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МУК 4.2.1018-01, п. 8.1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Общие (обобщенные) колиформные бактерии, КОЕ/100см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Не обнаружено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Отсутствие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МУК 4.2.1018-01, п. 8.2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Pr="00BF3610" w:rsidRDefault="00BF3610">
            <w:pPr>
              <w:rPr>
                <w:lang w:val="en-US"/>
              </w:rPr>
            </w:pPr>
            <w:r w:rsidRPr="00BF3610">
              <w:rPr>
                <w:sz w:val="22"/>
                <w:lang w:val="en-US"/>
              </w:rPr>
              <w:t xml:space="preserve">Escherichia coli (E.coli) , </w:t>
            </w:r>
            <w:r>
              <w:rPr>
                <w:sz w:val="22"/>
              </w:rPr>
              <w:t>КОЕ</w:t>
            </w:r>
            <w:r w:rsidRPr="00BF3610">
              <w:rPr>
                <w:sz w:val="22"/>
                <w:lang w:val="en-US"/>
              </w:rPr>
              <w:t>/100</w:t>
            </w:r>
            <w:r>
              <w:rPr>
                <w:sz w:val="22"/>
              </w:rPr>
              <w:t>см</w:t>
            </w:r>
            <w:r w:rsidRPr="00BF3610">
              <w:rPr>
                <w:sz w:val="22"/>
                <w:vertAlign w:val="superscript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Не обнаружено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Отсутствие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ГОСТ 31955.1-2013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 xml:space="preserve">Энтерококки, </w:t>
            </w:r>
            <w:r>
              <w:rPr>
                <w:sz w:val="22"/>
              </w:rPr>
              <w:t>КОЕ/100см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Не обнаружено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Отсутствие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МУК 4.2.1884-04 (с изменением №2 МУК 4.2.3691-21), приложение 5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Колифаги, БОЕ/100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Не обнаружено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Отсутствие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МУК 4.2.1018-01, п. 8.5</w:t>
            </w:r>
          </w:p>
        </w:tc>
      </w:tr>
      <w:tr w:rsidR="001B1CD1">
        <w:tc>
          <w:tcPr>
            <w:tcW w:w="0" w:type="auto"/>
            <w:gridSpan w:val="5"/>
            <w:vAlign w:val="center"/>
          </w:tcPr>
          <w:p w:rsidR="001B1CD1" w:rsidRDefault="00BF3610">
            <w:pPr>
              <w:jc w:val="center"/>
            </w:pPr>
            <w:r>
              <w:rPr>
                <w:b/>
                <w:sz w:val="22"/>
              </w:rPr>
              <w:t>Показатели радиационной безопасности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b/>
                <w:sz w:val="22"/>
              </w:rPr>
              <w:t xml:space="preserve">Суммарная объемная альфа-активность </w:t>
            </w:r>
            <w:r>
              <w:rPr>
                <w:b/>
                <w:sz w:val="22"/>
              </w:rPr>
              <w:t>радионуклидов, Бк/дм</w:t>
            </w:r>
            <w:r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b/>
                <w:sz w:val="22"/>
              </w:rPr>
              <w:t>0.24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rPr>
                <w:b/>
              </w:rPr>
              <w:t>0.2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ФР.1.40.2018.31321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Суммарная объемная бета-активность радионуклидов, Бк/дм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0.27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1.0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ФР.1.40.2018.31321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Объемная активность радона-222, Бк/дм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5.9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60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ФР.1.40.2018.31320</w:t>
            </w:r>
          </w:p>
        </w:tc>
      </w:tr>
      <w:tr w:rsidR="001B1CD1">
        <w:tc>
          <w:tcPr>
            <w:tcW w:w="0" w:type="auto"/>
            <w:gridSpan w:val="5"/>
            <w:vAlign w:val="center"/>
          </w:tcPr>
          <w:p w:rsidR="001B1CD1" w:rsidRDefault="00BF3610">
            <w:pPr>
              <w:jc w:val="center"/>
            </w:pPr>
            <w:r>
              <w:rPr>
                <w:b/>
                <w:sz w:val="22"/>
              </w:rPr>
              <w:t>Прочие показатели</w:t>
            </w:r>
          </w:p>
        </w:tc>
      </w:tr>
      <w:tr w:rsidR="001B1CD1" w:rsidTr="00BF3610">
        <w:tc>
          <w:tcPr>
            <w:tcW w:w="0" w:type="auto"/>
            <w:vAlign w:val="center"/>
          </w:tcPr>
          <w:p w:rsidR="001B1CD1" w:rsidRDefault="001B1C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1B1CD1" w:rsidRDefault="00BF3610">
            <w:r>
              <w:rPr>
                <w:sz w:val="22"/>
              </w:rPr>
              <w:t>Ион аммония,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22"/>
              </w:rPr>
              <w:t>1.70</w:t>
            </w:r>
          </w:p>
        </w:tc>
        <w:tc>
          <w:tcPr>
            <w:tcW w:w="1701" w:type="dxa"/>
            <w:vAlign w:val="center"/>
          </w:tcPr>
          <w:p w:rsidR="001B1CD1" w:rsidRDefault="00BF3610">
            <w:pPr>
              <w:jc w:val="center"/>
            </w:pPr>
            <w:r>
              <w:t>2.6</w:t>
            </w:r>
          </w:p>
        </w:tc>
        <w:tc>
          <w:tcPr>
            <w:tcW w:w="2477" w:type="dxa"/>
            <w:vAlign w:val="center"/>
          </w:tcPr>
          <w:p w:rsidR="001B1CD1" w:rsidRDefault="00BF3610">
            <w:pPr>
              <w:jc w:val="center"/>
            </w:pPr>
            <w:r>
              <w:rPr>
                <w:sz w:val="18"/>
              </w:rPr>
              <w:t>ПНД Ф 14.2:4.209-05</w:t>
            </w:r>
          </w:p>
        </w:tc>
      </w:tr>
    </w:tbl>
    <w:p w:rsidR="001B1CD1" w:rsidRDefault="001B1CD1">
      <w:pPr>
        <w:pStyle w:val="1"/>
        <w:ind w:firstLine="709"/>
        <w:jc w:val="both"/>
        <w:rPr>
          <w:sz w:val="12"/>
          <w:szCs w:val="12"/>
        </w:rPr>
      </w:pPr>
    </w:p>
    <w:p w:rsidR="001B1CD1" w:rsidRDefault="00BF3610">
      <w:r>
        <w:rPr>
          <w:sz w:val="22"/>
        </w:rPr>
        <w:t>[1] - СанПиН 1.2.3685-21(раздел III "Нормативы качества и безопасности воды", табл. 3.1, 3.3, 3.5, 3.12, 3.13)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1B1CD1" w:rsidRDefault="00BF3610">
      <w:r>
        <w:rPr>
          <w:sz w:val="22"/>
        </w:rPr>
        <w:t>* - Нормативы физиологической полноценности питьевой воды - условное соответствие требованиям СанПиН 2.1.4.1116-02 «Питьевая вода. Гигиенические требования к качеству воды, расфасованной в емкости. Контроль качества»</w:t>
      </w:r>
    </w:p>
    <w:p w:rsidR="001B1CD1" w:rsidRDefault="00BF3610">
      <w:pPr>
        <w:pStyle w:val="1"/>
        <w:ind w:firstLine="709"/>
        <w:jc w:val="both"/>
        <w:rPr>
          <w:i/>
          <w:color w:val="222222"/>
          <w:sz w:val="22"/>
          <w:szCs w:val="22"/>
        </w:rPr>
      </w:pPr>
      <w:r>
        <w:rPr>
          <w:i/>
          <w:color w:val="222222"/>
          <w:sz w:val="22"/>
          <w:szCs w:val="22"/>
          <w:shd w:val="clear" w:color="auto" w:fill="FFFFFF"/>
        </w:rPr>
        <w:t>Протокол испытаний распространяется т</w:t>
      </w:r>
      <w:r>
        <w:rPr>
          <w:i/>
          <w:color w:val="222222"/>
          <w:sz w:val="22"/>
          <w:szCs w:val="22"/>
          <w:shd w:val="clear" w:color="auto" w:fill="FFFFFF"/>
        </w:rPr>
        <w:t>олько на образцы, подвергнутые испытаниям.</w:t>
      </w:r>
      <w:r>
        <w:rPr>
          <w:i/>
          <w:color w:val="222222"/>
          <w:sz w:val="22"/>
          <w:szCs w:val="22"/>
        </w:rPr>
        <w:br/>
        <w:t xml:space="preserve">Данный протокол не может быть воспроизведен не в полном объеме без разрешения ИЦ ООО «ГИЦ ПВ», во избежание искажения информации. </w:t>
      </w:r>
    </w:p>
    <w:p w:rsidR="001B1CD1" w:rsidRDefault="00BF3610">
      <w:pPr>
        <w:pStyle w:val="1"/>
        <w:ind w:firstLine="709"/>
        <w:jc w:val="both"/>
        <w:rPr>
          <w:i/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ИЦ не несет ответственности за отбор проб Заказчиком и предоставление им информаци</w:t>
      </w:r>
      <w:r>
        <w:rPr>
          <w:i/>
          <w:color w:val="222222"/>
          <w:sz w:val="22"/>
          <w:szCs w:val="22"/>
        </w:rPr>
        <w:t>и, влияющей на достоверность результатов испытаний.</w:t>
      </w:r>
    </w:p>
    <w:p w:rsidR="00BF3610" w:rsidRDefault="00BF3610">
      <w:pPr>
        <w:pStyle w:val="1"/>
        <w:ind w:firstLine="709"/>
        <w:jc w:val="both"/>
        <w:rPr>
          <w:i/>
          <w:color w:val="222222"/>
          <w:sz w:val="22"/>
          <w:szCs w:val="22"/>
        </w:rPr>
      </w:pPr>
      <w:bookmarkStart w:id="0" w:name="_GoBack"/>
      <w:bookmarkEnd w:id="0"/>
    </w:p>
    <w:tbl>
      <w:tblPr>
        <w:tblW w:w="10138" w:type="dxa"/>
        <w:tblInd w:w="108" w:type="dxa"/>
        <w:tblLook w:val="04A0" w:firstRow="1" w:lastRow="0" w:firstColumn="1" w:lastColumn="0" w:noHBand="0" w:noVBand="1"/>
      </w:tblPr>
      <w:tblGrid>
        <w:gridCol w:w="5949"/>
        <w:gridCol w:w="4189"/>
      </w:tblGrid>
      <w:tr w:rsidR="001B1CD1" w:rsidTr="00BF3610">
        <w:tc>
          <w:tcPr>
            <w:tcW w:w="10138" w:type="dxa"/>
            <w:gridSpan w:val="2"/>
          </w:tcPr>
          <w:p w:rsidR="001B1CD1" w:rsidRDefault="00BF361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Ответственный за проведение испытаний:</w:t>
            </w:r>
          </w:p>
        </w:tc>
      </w:tr>
      <w:tr w:rsidR="001B1CD1" w:rsidTr="00BF3610">
        <w:tc>
          <w:tcPr>
            <w:tcW w:w="5949" w:type="dxa"/>
          </w:tcPr>
          <w:p w:rsidR="001B1CD1" w:rsidRDefault="00BF3610">
            <w:pPr>
              <w:jc w:val="both"/>
              <w:rPr>
                <w:i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 по научно-методической работе</w:t>
            </w:r>
          </w:p>
        </w:tc>
        <w:tc>
          <w:tcPr>
            <w:tcW w:w="4189" w:type="dxa"/>
          </w:tcPr>
          <w:p w:rsidR="001B1CD1" w:rsidRDefault="00BF3610">
            <w:pPr>
              <w:jc w:val="right"/>
              <w:rPr>
                <w:i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 П.С. Иванов</w:t>
            </w:r>
          </w:p>
        </w:tc>
      </w:tr>
    </w:tbl>
    <w:p w:rsidR="001B1CD1" w:rsidRDefault="001B1CD1">
      <w:pPr>
        <w:ind w:firstLine="709"/>
        <w:jc w:val="both"/>
        <w:rPr>
          <w:i/>
          <w:color w:val="222222"/>
          <w:sz w:val="16"/>
          <w:szCs w:val="16"/>
        </w:rPr>
      </w:pPr>
    </w:p>
    <w:p w:rsidR="001B1CD1" w:rsidRDefault="001B1CD1">
      <w:pPr>
        <w:jc w:val="both"/>
        <w:rPr>
          <w:sz w:val="24"/>
          <w:szCs w:val="24"/>
          <w:u w:val="single"/>
        </w:rPr>
      </w:pPr>
    </w:p>
    <w:sectPr w:rsidR="001B1CD1">
      <w:headerReference w:type="default" r:id="rId9"/>
      <w:footerReference w:type="default" r:id="rId10"/>
      <w:footerReference w:type="first" r:id="rId11"/>
      <w:pgSz w:w="11906" w:h="16838"/>
      <w:pgMar w:top="851" w:right="794" w:bottom="567" w:left="964" w:header="567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3610">
      <w:r>
        <w:separator/>
      </w:r>
    </w:p>
  </w:endnote>
  <w:endnote w:type="continuationSeparator" w:id="0">
    <w:p w:rsidR="00000000" w:rsidRDefault="00BF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789038"/>
      <w:docPartObj>
        <w:docPartGallery w:val="Page Numbers (Bottom of Page)"/>
        <w:docPartUnique/>
      </w:docPartObj>
    </w:sdtPr>
    <w:sdtEndPr/>
    <w:sdtContent>
      <w:p w:rsidR="001B1CD1" w:rsidRDefault="00BF3610">
        <w:pPr>
          <w:pStyle w:val="13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1B1CD1" w:rsidRDefault="00BF3610">
        <w:pPr>
          <w:pStyle w:val="1"/>
          <w:tabs>
            <w:tab w:val="center" w:pos="4536"/>
            <w:tab w:val="right" w:pos="9072"/>
          </w:tabs>
          <w:spacing w:after="720"/>
          <w:ind w:right="360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D1" w:rsidRDefault="001B1CD1">
    <w:pPr>
      <w:pStyle w:val="13"/>
    </w:pPr>
  </w:p>
  <w:p w:rsidR="001B1CD1" w:rsidRDefault="001B1CD1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3610">
      <w:r>
        <w:separator/>
      </w:r>
    </w:p>
  </w:footnote>
  <w:footnote w:type="continuationSeparator" w:id="0">
    <w:p w:rsidR="00000000" w:rsidRDefault="00BF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D1" w:rsidRDefault="00BF3610">
    <w:pPr>
      <w:pStyle w:val="12"/>
      <w:spacing w:line="276" w:lineRule="auto"/>
      <w:jc w:val="right"/>
      <w:rPr>
        <w:i/>
      </w:rPr>
    </w:pPr>
    <w:r>
      <w:rPr>
        <w:i/>
      </w:rPr>
      <w:t xml:space="preserve">Лист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 xml:space="preserve"> из </w:t>
    </w:r>
    <w:r>
      <w:rPr>
        <w:i/>
      </w:rPr>
      <w:fldChar w:fldCharType="begin"/>
    </w:r>
    <w:r>
      <w:rPr>
        <w:i/>
      </w:rPr>
      <w:instrText xml:space="preserve"> NUMPAGES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 xml:space="preserve"> Протокола испытаний №</w:t>
    </w:r>
    <w:sdt>
      <w:sdtPr>
        <w:alias w:val="Тема"/>
        <w:id w:val="154682673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ВП-22285/23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F536F"/>
    <w:multiLevelType w:val="hybridMultilevel"/>
    <w:tmpl w:val="00000000"/>
    <w:lvl w:ilvl="0" w:tplc="C9485B22">
      <w:start w:val="1"/>
      <w:numFmt w:val="decimal"/>
      <w:suff w:val="nothing"/>
      <w:lvlText w:val="%1."/>
      <w:lvlJc w:val="left"/>
    </w:lvl>
    <w:lvl w:ilvl="1" w:tplc="AD7E6788">
      <w:start w:val="1"/>
      <w:numFmt w:val="decimal"/>
      <w:lvlText w:val=""/>
      <w:lvlJc w:val="left"/>
    </w:lvl>
    <w:lvl w:ilvl="2" w:tplc="588C6CE4">
      <w:start w:val="1"/>
      <w:numFmt w:val="decimal"/>
      <w:lvlText w:val=""/>
      <w:lvlJc w:val="left"/>
    </w:lvl>
    <w:lvl w:ilvl="3" w:tplc="BF501770">
      <w:start w:val="1"/>
      <w:numFmt w:val="decimal"/>
      <w:lvlText w:val=""/>
      <w:lvlJc w:val="left"/>
    </w:lvl>
    <w:lvl w:ilvl="4" w:tplc="616A7DA2">
      <w:start w:val="1"/>
      <w:numFmt w:val="decimal"/>
      <w:lvlText w:val=""/>
      <w:lvlJc w:val="left"/>
    </w:lvl>
    <w:lvl w:ilvl="5" w:tplc="50AAFE3E">
      <w:start w:val="1"/>
      <w:numFmt w:val="decimal"/>
      <w:lvlText w:val=""/>
      <w:lvlJc w:val="left"/>
    </w:lvl>
    <w:lvl w:ilvl="6" w:tplc="53BCD568">
      <w:start w:val="1"/>
      <w:numFmt w:val="decimal"/>
      <w:lvlText w:val=""/>
      <w:lvlJc w:val="left"/>
    </w:lvl>
    <w:lvl w:ilvl="7" w:tplc="B146811E">
      <w:start w:val="1"/>
      <w:numFmt w:val="decimal"/>
      <w:lvlText w:val=""/>
      <w:lvlJc w:val="left"/>
    </w:lvl>
    <w:lvl w:ilvl="8" w:tplc="D566284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D1"/>
    <w:rsid w:val="001B1CD1"/>
    <w:rsid w:val="00BB6802"/>
    <w:rsid w:val="00BF3610"/>
    <w:rsid w:val="00F0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5D142-25A5-4A92-AABC-95F959C6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1"/>
    <w:qFormat/>
    <w:rsid w:val="00B56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1"/>
    <w:next w:val="1"/>
    <w:qFormat/>
    <w:rsid w:val="00B5639C"/>
    <w:pPr>
      <w:keepNext/>
      <w:jc w:val="center"/>
      <w:outlineLvl w:val="1"/>
    </w:pPr>
    <w:rPr>
      <w:sz w:val="26"/>
      <w:szCs w:val="26"/>
    </w:rPr>
  </w:style>
  <w:style w:type="paragraph" w:customStyle="1" w:styleId="31">
    <w:name w:val="Заголовок 31"/>
    <w:basedOn w:val="1"/>
    <w:next w:val="1"/>
    <w:qFormat/>
    <w:rsid w:val="00B56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1"/>
    <w:next w:val="1"/>
    <w:qFormat/>
    <w:rsid w:val="00B56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1"/>
    <w:next w:val="1"/>
    <w:qFormat/>
    <w:rsid w:val="00B56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61">
    <w:name w:val="Заголовок 61"/>
    <w:basedOn w:val="1"/>
    <w:next w:val="1"/>
    <w:qFormat/>
    <w:rsid w:val="00B5639C"/>
    <w:pPr>
      <w:keepNext/>
      <w:keepLines/>
      <w:spacing w:before="200" w:after="40"/>
      <w:outlineLvl w:val="5"/>
    </w:pPr>
    <w:rPr>
      <w:b/>
    </w:rPr>
  </w:style>
  <w:style w:type="character" w:customStyle="1" w:styleId="a3">
    <w:name w:val="Верхний колонтитул Знак"/>
    <w:basedOn w:val="a0"/>
    <w:uiPriority w:val="99"/>
    <w:qFormat/>
    <w:rsid w:val="00880D87"/>
  </w:style>
  <w:style w:type="character" w:customStyle="1" w:styleId="a4">
    <w:name w:val="Нижний колонтитул Знак"/>
    <w:basedOn w:val="a0"/>
    <w:uiPriority w:val="99"/>
    <w:qFormat/>
    <w:rsid w:val="00880D87"/>
  </w:style>
  <w:style w:type="character" w:customStyle="1" w:styleId="a5">
    <w:name w:val="Текст выноски Знак"/>
    <w:basedOn w:val="a0"/>
    <w:uiPriority w:val="99"/>
    <w:semiHidden/>
    <w:qFormat/>
    <w:rsid w:val="00880D8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3757A6"/>
    <w:rPr>
      <w:color w:val="808080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">
    <w:name w:val="Обычный1"/>
    <w:qFormat/>
    <w:rsid w:val="00B5639C"/>
  </w:style>
  <w:style w:type="paragraph" w:styleId="a9">
    <w:name w:val="Title"/>
    <w:basedOn w:val="1"/>
    <w:next w:val="1"/>
    <w:qFormat/>
    <w:rsid w:val="00B5639C"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1"/>
    <w:next w:val="1"/>
    <w:qFormat/>
    <w:rsid w:val="00B56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a"/>
    <w:qFormat/>
  </w:style>
  <w:style w:type="paragraph" w:customStyle="1" w:styleId="12">
    <w:name w:val="Верхний колонтитул1"/>
    <w:basedOn w:val="a"/>
    <w:uiPriority w:val="99"/>
    <w:unhideWhenUsed/>
    <w:rsid w:val="00880D8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880D87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880D87"/>
    <w:rPr>
      <w:rFonts w:ascii="Tahoma" w:hAnsi="Tahoma" w:cs="Tahoma"/>
      <w:sz w:val="16"/>
      <w:szCs w:val="16"/>
    </w:rPr>
  </w:style>
  <w:style w:type="table" w:customStyle="1" w:styleId="TableNormal0">
    <w:name w:val="Table Normal_0"/>
    <w:rsid w:val="00B5639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E6EA-4411-415C-9AC8-85028F8F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664</Words>
  <Characters>3791</Characters>
  <Application>Microsoft Office Word</Application>
  <DocSecurity>0</DocSecurity>
  <Lines>31</Lines>
  <Paragraphs>8</Paragraphs>
  <ScaleCrop>false</ScaleCrop>
  <Company>DIEM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ВП-22285/23</dc:title>
  <dc:subject>ВП-22285/23</dc:subject>
  <dc:creator>moryakov</dc:creator>
  <cp:lastModifiedBy>Пользователь Windows</cp:lastModifiedBy>
  <cp:revision>59</cp:revision>
  <dcterms:created xsi:type="dcterms:W3CDTF">2017-10-17T09:32:00Z</dcterms:created>
  <dcterms:modified xsi:type="dcterms:W3CDTF">2023-07-25T10:10:00Z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DIEM</vt:lpwstr>
  </property>
  <property fmtid="{D5CDD505-2E9C-101B-9397-08002B2CF9AE}" pid="4" name="DocSecurity">
    <vt:i4>0</vt:i4>
  </property>
  <property fmtid="{D5CDD505-2E9C-101B-9397-08002B2CF9AE}" pid="5" name="DocumentMetaProtocolProbe">
    <vt:lpwstr>ВП-22285/23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